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37"/>
        <w:tabs>
          <w:tab w:val="center" w:pos="4677" w:leader="none"/>
          <w:tab w:val="right" w:pos="9355" w:leader="none"/>
        </w:tabs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2963538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237"/>
        <w:tabs>
          <w:tab w:val="center" w:pos="4677" w:leader="none"/>
          <w:tab w:val="right" w:pos="9355" w:leader="none"/>
        </w:tabs>
      </w:pPr>
      <w:r/>
      <w:r/>
    </w:p>
    <w:p>
      <w:pPr>
        <w:pStyle w:val="237"/>
        <w:tabs>
          <w:tab w:val="center" w:pos="4677" w:leader="none"/>
          <w:tab w:val="right" w:pos="9355" w:leader="none"/>
        </w:tabs>
      </w:pPr>
      <w:r/>
      <w:r/>
    </w:p>
    <w:p>
      <w:pPr>
        <w:pStyle w:val="237"/>
        <w:tabs>
          <w:tab w:val="center" w:pos="4677" w:leader="none"/>
          <w:tab w:val="right" w:pos="9355" w:leader="none"/>
        </w:tabs>
      </w:pPr>
      <w:r/>
      <w:r/>
    </w:p>
    <w:p>
      <w:pPr>
        <w:pStyle w:val="23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3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3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237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</w:r>
      <w:r/>
    </w:p>
    <w:p>
      <w:pPr>
        <w:pStyle w:val="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КОТЕЛЬНИКИ</w:t>
      </w:r>
      <w:r>
        <w:rPr>
          <w:b/>
          <w:sz w:val="28"/>
          <w:szCs w:val="28"/>
        </w:rPr>
      </w:r>
      <w:r/>
    </w:p>
    <w:p>
      <w:pPr>
        <w:pStyle w:val="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pStyle w:val="23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23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/>
    </w:p>
    <w:p>
      <w:pPr>
        <w:pStyle w:val="237"/>
        <w:jc w:val="center"/>
        <w:spacing w:before="120"/>
        <w:tabs>
          <w:tab w:val="center" w:pos="4677" w:leader="none"/>
          <w:tab w:val="right" w:pos="9355" w:leader="none"/>
        </w:tabs>
      </w:pPr>
      <w:r/>
      <w:r/>
    </w:p>
    <w:p>
      <w:pPr>
        <w:pStyle w:val="237"/>
        <w:jc w:val="center"/>
        <w:rPr>
          <w:sz w:val="28"/>
        </w:rPr>
      </w:pPr>
      <w:r>
        <w:rPr>
          <w:sz w:val="28"/>
        </w:rPr>
        <w:t xml:space="preserve">23.01.2020 № 23-ПГ</w:t>
      </w:r>
      <w:r>
        <w:rPr>
          <w:sz w:val="28"/>
        </w:rPr>
      </w:r>
      <w:r/>
    </w:p>
    <w:p>
      <w:pPr>
        <w:pStyle w:val="237"/>
        <w:jc w:val="center"/>
        <w:tabs>
          <w:tab w:val="center" w:pos="4677" w:leader="none"/>
          <w:tab w:val="right" w:pos="9355" w:leader="none"/>
        </w:tabs>
      </w:pPr>
      <w:r>
        <w:t xml:space="preserve">г. Котельники</w:t>
      </w:r>
      <w:r/>
    </w:p>
    <w:p>
      <w:pPr>
        <w:pStyle w:val="245"/>
        <w:ind w:right="5102"/>
        <w:jc w:val="left"/>
        <w:tabs>
          <w:tab w:val="left" w:pos="-33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45"/>
        <w:ind w:right="0"/>
        <w:jc w:val="center"/>
        <w:tabs>
          <w:tab w:val="left" w:pos="-338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sz w:val="28"/>
        </w:rPr>
        <w:t xml:space="preserve">Об у</w:t>
      </w:r>
      <w:r>
        <w:rPr>
          <w:sz w:val="28"/>
        </w:rPr>
        <w:t xml:space="preserve">тверж</w:t>
      </w:r>
      <w:r>
        <w:rPr>
          <w:sz w:val="28"/>
        </w:rPr>
        <w:t xml:space="preserve">дении Перечня </w:t>
      </w:r>
      <w:r>
        <w:rPr>
          <w:sz w:val="28"/>
        </w:rPr>
        <w:t xml:space="preserve">земельных участков </w:t>
      </w:r>
      <w:r>
        <w:rPr>
          <w:sz w:val="28"/>
        </w:rPr>
        <w:t xml:space="preserve">для бесплатного </w:t>
      </w:r>
      <w:r/>
    </w:p>
    <w:p>
      <w:pPr>
        <w:pStyle w:val="245"/>
        <w:ind w:right="0"/>
        <w:jc w:val="center"/>
        <w:tabs>
          <w:tab w:val="left" w:pos="-3382" w:leader="none"/>
        </w:tabs>
        <w:rPr>
          <w:sz w:val="28"/>
          <w:szCs w:val="28"/>
        </w:rPr>
      </w:pPr>
      <w:r>
        <w:rPr>
          <w:sz w:val="28"/>
        </w:rPr>
        <w:t xml:space="preserve">предоставления многодетным семьям</w:t>
      </w:r>
      <w:r>
        <w:rPr>
          <w:sz w:val="28"/>
          <w:szCs w:val="28"/>
        </w:rPr>
      </w:r>
      <w:r/>
    </w:p>
    <w:p>
      <w:pPr>
        <w:pStyle w:val="245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245"/>
        <w:rPr>
          <w:color w:val="000000"/>
        </w:rPr>
      </w:pPr>
      <w:r>
        <w:rPr>
          <w:color w:val="000000"/>
        </w:rPr>
      </w:r>
      <w:r/>
    </w:p>
    <w:p>
      <w:pPr>
        <w:pStyle w:val="237"/>
        <w:ind w:left="0" w:right="0" w:firstLine="85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6 статьи 39.5 Земельного</w:t>
      </w:r>
      <w:r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ганизации местного самоуправления в Российской Федерации», пунктом 8 статьи 6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"consultantplus://offline/ref=CD26591037829D6BE8E59B5F126EFC3AD14C8CDB422A504EC501B94E094C386CA1959C75B78E2AD5a0G0M"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Московской обл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 от 01.06.2011 № 73/2011-ОЗ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О бесплатном предоставлении земельных участков многодетным семьям в Московской области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постановлением администрации</w:t>
      </w:r>
      <w:r>
        <w:rPr>
          <w:color w:val="000000"/>
          <w:sz w:val="28"/>
          <w:szCs w:val="28"/>
        </w:rPr>
        <w:t xml:space="preserve"> городского округа К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тельники Московской области от 26.05.2015 № 362-ПА «</w:t>
      </w:r>
      <w:r>
        <w:rPr>
          <w:bCs/>
          <w:color w:val="000000"/>
          <w:sz w:val="28"/>
          <w:szCs w:val="28"/>
        </w:rPr>
        <w:t xml:space="preserve">Об утверждении «Положения о порядке уч</w:t>
      </w:r>
      <w:r>
        <w:rPr>
          <w:bCs/>
          <w:color w:val="000000"/>
          <w:sz w:val="28"/>
          <w:szCs w:val="28"/>
        </w:rPr>
        <w:t xml:space="preserve">ё</w:t>
      </w:r>
      <w:r>
        <w:rPr>
          <w:bCs/>
          <w:color w:val="000000"/>
          <w:sz w:val="28"/>
          <w:szCs w:val="28"/>
        </w:rPr>
        <w:t xml:space="preserve">та мног</w:t>
      </w:r>
      <w:r>
        <w:rPr>
          <w:bCs/>
          <w:color w:val="000000"/>
          <w:sz w:val="28"/>
          <w:szCs w:val="28"/>
        </w:rPr>
        <w:t xml:space="preserve">о</w:t>
      </w:r>
      <w:r>
        <w:rPr>
          <w:bCs/>
          <w:color w:val="000000"/>
          <w:sz w:val="28"/>
          <w:szCs w:val="28"/>
        </w:rPr>
        <w:t xml:space="preserve">детных семей городского округа Котельники Московской области в целях бесплатного предоставления земельных участков»,</w:t>
      </w:r>
      <w:r>
        <w:rPr>
          <w:color w:val="000000"/>
          <w:sz w:val="28"/>
          <w:szCs w:val="28"/>
        </w:rPr>
        <w:t xml:space="preserve"> на основании Устава городского округа Котельники Московской о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ласти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0"/>
          <w:sz w:val="28"/>
          <w:szCs w:val="28"/>
        </w:rPr>
        <w:t xml:space="preserve">постановляю</w:t>
      </w:r>
      <w:r>
        <w:rPr>
          <w:color w:val="000000"/>
          <w:spacing w:val="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237"/>
        <w:ind w:firstLine="851"/>
        <w:jc w:val="both"/>
        <w:spacing w:lineRule="atLeast" w:line="280" w:after="1"/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земельных участков для бесплатного предоста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ления многодетным семьям </w:t>
      </w:r>
      <w:r>
        <w:rPr>
          <w:sz w:val="28"/>
          <w:szCs w:val="28"/>
        </w:rPr>
        <w:t xml:space="preserve">городского округа Котельники Московской области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237"/>
        <w:ind w:firstLine="851"/>
        <w:jc w:val="both"/>
        <w:spacing w:lineRule="atLeast" w:line="280" w:after="1"/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ники Московской области в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237"/>
        <w:ind w:firstLine="851"/>
        <w:jc w:val="both"/>
        <w:tabs>
          <w:tab w:val="left" w:pos="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Контроль за </w:t>
      </w:r>
      <w:r>
        <w:rPr>
          <w:sz w:val="28"/>
          <w:szCs w:val="28"/>
          <w:lang w:val="ru-RU"/>
        </w:rPr>
        <w:t xml:space="preserve">вы</w:t>
      </w:r>
      <w:r>
        <w:rPr>
          <w:sz w:val="28"/>
          <w:szCs w:val="28"/>
          <w:lang w:val="ru-RU"/>
        </w:rPr>
        <w:t xml:space="preserve">полнением данного постановления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возложить на заместителя главы администрации </w:t>
      </w:r>
      <w:r>
        <w:rPr>
          <w:sz w:val="28"/>
          <w:szCs w:val="28"/>
          <w:lang w:val="ru-RU"/>
        </w:rPr>
        <w:t xml:space="preserve">Жигалкина С</w:t>
      </w:r>
      <w:r>
        <w:rPr>
          <w:sz w:val="28"/>
          <w:szCs w:val="28"/>
          <w:lang w:val="ru-RU"/>
        </w:rPr>
        <w:t xml:space="preserve">.А</w:t>
      </w:r>
      <w:r>
        <w:rPr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237"/>
        <w:rPr>
          <w:szCs w:val="28"/>
        </w:rPr>
      </w:pPr>
      <w:r>
        <w:rPr>
          <w:szCs w:val="28"/>
        </w:rPr>
      </w:r>
      <w:r/>
    </w:p>
    <w:p>
      <w:pPr>
        <w:pStyle w:val="237"/>
        <w:rPr>
          <w:szCs w:val="28"/>
        </w:rPr>
      </w:pPr>
      <w:r>
        <w:rPr>
          <w:szCs w:val="28"/>
        </w:rPr>
      </w:r>
      <w:r/>
    </w:p>
    <w:p>
      <w:pPr>
        <w:pStyle w:val="237"/>
        <w:rPr>
          <w:szCs w:val="28"/>
        </w:rPr>
      </w:pPr>
      <w:r>
        <w:rPr>
          <w:szCs w:val="28"/>
        </w:rPr>
      </w:r>
      <w:r/>
    </w:p>
    <w:p>
      <w:pPr>
        <w:pStyle w:val="2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3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Глав</w:t>
      </w:r>
      <w:r>
        <w:rPr>
          <w:rFonts w:ascii="Times New Roman CYR" w:hAnsi="Times New Roman CYR"/>
          <w:sz w:val="28"/>
          <w:szCs w:val="28"/>
        </w:rPr>
        <w:t xml:space="preserve">а городского округа                     </w:t>
      </w:r>
      <w:r>
        <w:rPr>
          <w:rFonts w:ascii="Times New Roman CYR" w:hAnsi="Times New Roman CYR"/>
          <w:sz w:val="28"/>
          <w:szCs w:val="28"/>
        </w:rPr>
        <w:tab/>
        <w:tab/>
        <w:tab/>
        <w:tab/>
        <w:tab/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А.</w:t>
      </w:r>
      <w:r>
        <w:rPr>
          <w:rFonts w:ascii="Times New Roman CYR" w:hAnsi="Times New Roman CYR"/>
          <w:sz w:val="28"/>
          <w:szCs w:val="28"/>
        </w:rPr>
        <w:t xml:space="preserve">А. </w:t>
      </w:r>
      <w:r>
        <w:rPr>
          <w:rFonts w:ascii="Times New Roman CYR" w:hAnsi="Times New Roman CYR"/>
          <w:sz w:val="28"/>
        </w:rPr>
        <w:t xml:space="preserve">Булгаков</w:t>
      </w:r>
      <w:r>
        <w:rPr>
          <w:sz w:val="28"/>
        </w:rPr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/>
          <w:sz w:val="28"/>
          <w:szCs w:val="28"/>
        </w:rPr>
        <w:t xml:space="preserve">городского                               </w:t>
      </w:r>
      <w:r>
        <w:rPr>
          <w:rFonts w:ascii="Times New Roman" w:hAnsi="Times New Roman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округа </w:t>
      </w:r>
      <w:r>
        <w:rPr>
          <w:rFonts w:ascii="Times New Roman" w:hAnsi="Times New Roman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/>
        </w:rPr>
      </w:r>
      <w:r/>
    </w:p>
    <w:p>
      <w:pPr>
        <w:pStyle w:val="247"/>
        <w:tabs>
          <w:tab w:val="left" w:pos="4820" w:leader="none"/>
        </w:tabs>
        <w:rPr>
          <w:rFonts w:ascii="Times New Roman" w:hAnsi="Times New Roman" w:cs="Times New Roman" w:eastAsia="Times New Roman"/>
        </w:rPr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 xml:space="preserve">                  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от «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23»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января 2020г. №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23-ПГ</w:t>
      </w:r>
      <w:r>
        <w:rPr>
          <w:rFonts w:ascii="Times New Roman" w:hAnsi="Times New Roman" w:cs="Times New Roman" w:eastAsia="Times New Roman"/>
        </w:rPr>
      </w:r>
      <w:r/>
    </w:p>
    <w:p>
      <w:pPr>
        <w:pStyle w:val="237"/>
        <w:ind w:left="354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237"/>
        <w:ind w:left="3545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56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/>
    </w:p>
    <w:p>
      <w:pPr>
        <w:pStyle w:val="256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 для бесплатного предоставления мног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детным семьям городского округа Котельники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56"/>
        <w:ind w:right="-439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78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198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№ п/п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Местоположение земельного участка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Кадастровый номер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  <w:rPr>
                <w:b w:val="false"/>
              </w:rPr>
            </w:pPr>
            <w:r>
              <w:rPr>
                <w:b w:val="false"/>
                <w:sz w:val="28"/>
                <w:szCs w:val="28"/>
              </w:rPr>
              <w:t xml:space="preserve">Площадь з</w:t>
            </w:r>
            <w:r>
              <w:rPr>
                <w:b w:val="false"/>
                <w:sz w:val="28"/>
                <w:szCs w:val="28"/>
              </w:rPr>
              <w:t xml:space="preserve">е</w:t>
            </w:r>
            <w:r>
              <w:rPr>
                <w:b w:val="false"/>
                <w:sz w:val="28"/>
                <w:szCs w:val="28"/>
              </w:rPr>
              <w:t xml:space="preserve">мельного участка (кв.м)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568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580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587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591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592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50:25:0070229:601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7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t xml:space="preserve">603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t xml:space="preserve">609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621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622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625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626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15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627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631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633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635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19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636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637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21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t xml:space="preserve">639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26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27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</w:t>
            </w:r>
            <w:r>
              <w:rPr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Кривандинское вблизи пос. Туголесский Бор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50:25:0070229:</w:t>
            </w:r>
            <w:r>
              <w:rPr>
                <w:sz w:val="26"/>
                <w:szCs w:val="26"/>
              </w:rPr>
              <w:t xml:space="preserve">647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237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00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23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  <w:r/>
    </w:p>
    <w:sectPr>
      <w:footnotePr/>
      <w:type w:val="nextPage"/>
      <w:pgSz w:w="11907" w:h="16840"/>
      <w:pgMar w:top="1134" w:right="1134" w:bottom="1134" w:left="1134" w:gutter="0" w:header="720" w:footer="7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1211" w:hanging="345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37"/>
        <w:ind w:left="1931" w:hanging="345"/>
      </w:pPr>
    </w:lvl>
    <w:lvl w:ilvl="2">
      <w:start w:val="1"/>
      <w:numFmt w:val="lowerRoman"/>
      <w:suff w:val="tab"/>
      <w:lvlText w:val="%3."/>
      <w:lvlJc w:val="right"/>
      <w:pPr>
        <w:pStyle w:val="237"/>
        <w:ind w:left="2651" w:hanging="165"/>
      </w:pPr>
    </w:lvl>
    <w:lvl w:ilvl="3">
      <w:start w:val="1"/>
      <w:numFmt w:val="decimal"/>
      <w:suff w:val="tab"/>
      <w:lvlText w:val="%4."/>
      <w:lvlJc w:val="left"/>
      <w:pPr>
        <w:pStyle w:val="237"/>
        <w:ind w:left="3371" w:hanging="345"/>
      </w:pPr>
    </w:lvl>
    <w:lvl w:ilvl="4">
      <w:start w:val="1"/>
      <w:numFmt w:val="lowerLetter"/>
      <w:suff w:val="tab"/>
      <w:lvlText w:val="%5."/>
      <w:lvlJc w:val="left"/>
      <w:pPr>
        <w:pStyle w:val="237"/>
        <w:ind w:left="4091" w:hanging="345"/>
      </w:pPr>
    </w:lvl>
    <w:lvl w:ilvl="5">
      <w:start w:val="1"/>
      <w:numFmt w:val="lowerRoman"/>
      <w:suff w:val="tab"/>
      <w:lvlText w:val="%6."/>
      <w:lvlJc w:val="right"/>
      <w:pPr>
        <w:pStyle w:val="237"/>
        <w:ind w:left="4811" w:hanging="165"/>
      </w:pPr>
    </w:lvl>
    <w:lvl w:ilvl="6">
      <w:start w:val="1"/>
      <w:numFmt w:val="decimal"/>
      <w:suff w:val="tab"/>
      <w:lvlText w:val="%7."/>
      <w:lvlJc w:val="left"/>
      <w:pPr>
        <w:pStyle w:val="237"/>
        <w:ind w:left="5531" w:hanging="345"/>
      </w:pPr>
    </w:lvl>
    <w:lvl w:ilvl="7">
      <w:start w:val="1"/>
      <w:numFmt w:val="lowerLetter"/>
      <w:suff w:val="tab"/>
      <w:lvlText w:val="%8."/>
      <w:lvlJc w:val="left"/>
      <w:pPr>
        <w:pStyle w:val="237"/>
        <w:ind w:left="6251" w:hanging="345"/>
      </w:pPr>
    </w:lvl>
    <w:lvl w:ilvl="8">
      <w:start w:val="1"/>
      <w:numFmt w:val="lowerRoman"/>
      <w:suff w:val="tab"/>
      <w:lvlText w:val="%9."/>
      <w:lvlJc w:val="right"/>
      <w:pPr>
        <w:pStyle w:val="237"/>
        <w:ind w:left="6971" w:hanging="165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1080" w:hanging="345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237"/>
        <w:ind w:left="1800" w:hanging="345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37"/>
        <w:ind w:left="2520" w:hanging="165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3240" w:hanging="345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3960" w:hanging="345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37"/>
        <w:ind w:left="4680" w:hanging="165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400" w:hanging="345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6120" w:hanging="345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37"/>
        <w:ind w:left="6840" w:hanging="165"/>
        <w:tabs>
          <w:tab w:val="left" w:pos="684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720" w:hanging="345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7"/>
        <w:ind w:left="1506" w:hanging="345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right"/>
      <w:pPr>
        <w:pStyle w:val="237"/>
        <w:ind w:left="2226" w:hanging="165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2946" w:hanging="345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3666" w:hanging="345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37"/>
        <w:ind w:left="4386" w:hanging="165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106" w:hanging="345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5826" w:hanging="345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37"/>
        <w:ind w:left="6546" w:hanging="165"/>
        <w:tabs>
          <w:tab w:val="left" w:pos="6546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5322" w:hanging="345"/>
        <w:tabs>
          <w:tab w:val="left" w:pos="5322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37"/>
        <w:ind w:left="5551" w:hanging="345"/>
        <w:tabs>
          <w:tab w:val="left" w:pos="5551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37"/>
        <w:ind w:left="6271" w:hanging="165"/>
        <w:tabs>
          <w:tab w:val="left" w:pos="6271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6991" w:hanging="345"/>
        <w:tabs>
          <w:tab w:val="left" w:pos="6991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7711" w:hanging="345"/>
        <w:tabs>
          <w:tab w:val="left" w:pos="7711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37"/>
        <w:ind w:left="8431" w:hanging="165"/>
        <w:tabs>
          <w:tab w:val="left" w:pos="8431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9151" w:hanging="345"/>
        <w:tabs>
          <w:tab w:val="left" w:pos="9151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9871" w:hanging="345"/>
        <w:tabs>
          <w:tab w:val="left" w:pos="9871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37"/>
        <w:ind w:left="10591" w:hanging="165"/>
        <w:tabs>
          <w:tab w:val="left" w:pos="10591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644" w:hanging="345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37"/>
        <w:ind w:left="1506" w:hanging="345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7"/>
        <w:ind w:left="2226" w:hanging="165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2946" w:hanging="345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3666" w:hanging="345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7"/>
        <w:ind w:left="4386" w:hanging="165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106" w:hanging="345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5826" w:hanging="345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7"/>
        <w:ind w:left="6546" w:hanging="165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720" w:hanging="345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37"/>
        <w:ind w:left="1440" w:hanging="34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37"/>
        <w:ind w:left="2160" w:hanging="34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2880" w:hanging="34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37"/>
        <w:ind w:left="3600" w:hanging="34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37"/>
        <w:ind w:left="4320" w:hanging="34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040" w:hanging="34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37"/>
        <w:ind w:left="5760" w:hanging="34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37"/>
        <w:ind w:left="6480" w:hanging="34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 "/>
      <w:lvlJc w:val="left"/>
      <w:pPr>
        <w:pStyle w:val="237"/>
        <w:ind w:left="720" w:hanging="345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7"/>
        <w:ind w:left="1506" w:hanging="345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7"/>
        <w:ind w:left="2226" w:hanging="165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2946" w:hanging="345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3666" w:hanging="345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7"/>
        <w:ind w:left="4386" w:hanging="165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106" w:hanging="345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5826" w:hanging="345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7"/>
        <w:ind w:left="6546" w:hanging="165"/>
        <w:tabs>
          <w:tab w:val="left" w:pos="6546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 "/>
      <w:lvlJc w:val="left"/>
      <w:pPr>
        <w:pStyle w:val="237"/>
        <w:ind w:left="720" w:hanging="345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7"/>
        <w:ind w:left="1506" w:hanging="345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7"/>
        <w:ind w:left="2226" w:hanging="165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2946" w:hanging="345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3666" w:hanging="345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7"/>
        <w:ind w:left="4386" w:hanging="165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106" w:hanging="345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5826" w:hanging="345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7"/>
        <w:ind w:left="6546" w:hanging="165"/>
        <w:tabs>
          <w:tab w:val="left" w:pos="6546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237"/>
        <w:ind w:left="720" w:hanging="345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37"/>
        <w:ind w:left="1440" w:hanging="345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37"/>
        <w:ind w:left="2160" w:hanging="16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7"/>
        <w:ind w:left="2880" w:hanging="345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7"/>
        <w:ind w:left="3600" w:hanging="345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37"/>
        <w:ind w:left="4320" w:hanging="16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7"/>
        <w:ind w:left="5040" w:hanging="345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7"/>
        <w:ind w:left="5760" w:hanging="345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37"/>
        <w:ind w:left="6480" w:hanging="165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5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76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7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8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9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80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81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2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3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4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5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86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7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8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9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90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91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2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3">
    <w:name w:val="List Paragraph"/>
    <w:qFormat/>
    <w:uiPriority w:val="34"/>
    <w:pPr>
      <w:contextualSpacing w:val="true"/>
      <w:ind w:left="720"/>
    </w:pPr>
  </w:style>
  <w:style w:type="paragraph" w:styleId="194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5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96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7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8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9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00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0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2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16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3">
    <w:name w:val="Hyperlink"/>
    <w:uiPriority w:val="99"/>
    <w:unhideWhenUsed/>
    <w:rPr>
      <w:color w:val="0000FF" w:themeColor="hyperlink"/>
      <w:u w:val="single"/>
    </w:rPr>
  </w:style>
  <w:style w:type="paragraph" w:styleId="224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5">
    <w:name w:val="Footnote Text Char"/>
    <w:uiPriority w:val="99"/>
    <w:semiHidden/>
    <w:rPr>
      <w:sz w:val="20"/>
    </w:rPr>
  </w:style>
  <w:style w:type="character" w:styleId="226">
    <w:name w:val="footnote reference"/>
    <w:uiPriority w:val="99"/>
    <w:semiHidden/>
    <w:unhideWhenUsed/>
    <w:rPr>
      <w:vertAlign w:val="superscript"/>
    </w:rPr>
  </w:style>
  <w:style w:type="paragraph" w:styleId="227">
    <w:name w:val="toc 1"/>
    <w:uiPriority w:val="39"/>
    <w:unhideWhenUsed/>
    <w:pPr>
      <w:ind w:left="0" w:right="0" w:hanging="0"/>
      <w:spacing w:after="57"/>
    </w:pPr>
  </w:style>
  <w:style w:type="paragraph" w:styleId="228">
    <w:name w:val="toc 2"/>
    <w:uiPriority w:val="39"/>
    <w:unhideWhenUsed/>
    <w:pPr>
      <w:ind w:left="283" w:right="0" w:hanging="0"/>
      <w:spacing w:after="57"/>
    </w:pPr>
  </w:style>
  <w:style w:type="paragraph" w:styleId="229">
    <w:name w:val="toc 3"/>
    <w:uiPriority w:val="39"/>
    <w:unhideWhenUsed/>
    <w:pPr>
      <w:ind w:left="567" w:right="0" w:hanging="0"/>
      <w:spacing w:after="57"/>
    </w:pPr>
  </w:style>
  <w:style w:type="paragraph" w:styleId="230">
    <w:name w:val="toc 4"/>
    <w:uiPriority w:val="39"/>
    <w:unhideWhenUsed/>
    <w:pPr>
      <w:ind w:left="850" w:right="0" w:hanging="0"/>
      <w:spacing w:after="57"/>
    </w:pPr>
  </w:style>
  <w:style w:type="paragraph" w:styleId="231">
    <w:name w:val="toc 5"/>
    <w:uiPriority w:val="39"/>
    <w:unhideWhenUsed/>
    <w:pPr>
      <w:ind w:left="1134" w:right="0" w:hanging="0"/>
      <w:spacing w:after="57"/>
    </w:pPr>
  </w:style>
  <w:style w:type="paragraph" w:styleId="232">
    <w:name w:val="toc 6"/>
    <w:uiPriority w:val="39"/>
    <w:unhideWhenUsed/>
    <w:pPr>
      <w:ind w:left="1417" w:right="0" w:hanging="0"/>
      <w:spacing w:after="57"/>
    </w:pPr>
  </w:style>
  <w:style w:type="paragraph" w:styleId="233">
    <w:name w:val="toc 7"/>
    <w:uiPriority w:val="39"/>
    <w:unhideWhenUsed/>
    <w:pPr>
      <w:ind w:left="1701" w:right="0" w:hanging="0"/>
      <w:spacing w:after="57"/>
    </w:pPr>
  </w:style>
  <w:style w:type="paragraph" w:styleId="234">
    <w:name w:val="toc 8"/>
    <w:uiPriority w:val="39"/>
    <w:unhideWhenUsed/>
    <w:pPr>
      <w:ind w:left="1984" w:right="0" w:hanging="0"/>
      <w:spacing w:after="57"/>
    </w:pPr>
  </w:style>
  <w:style w:type="paragraph" w:styleId="235">
    <w:name w:val="toc 9"/>
    <w:uiPriority w:val="39"/>
    <w:unhideWhenUsed/>
    <w:pPr>
      <w:ind w:left="2268" w:right="0" w:hanging="0"/>
      <w:spacing w:after="57"/>
    </w:pPr>
  </w:style>
  <w:style w:type="paragraph" w:styleId="236">
    <w:name w:val="TOC Heading"/>
    <w:uiPriority w:val="39"/>
    <w:unhideWhenUsed/>
  </w:style>
  <w:style w:type="paragraph" w:styleId="237">
    <w:name w:val="Обычный"/>
    <w:next w:val="237"/>
    <w:rPr>
      <w:color w:val="000000"/>
      <w:sz w:val="24"/>
      <w:szCs w:val="24"/>
      <w:lang w:val="ru-RU" w:bidi="ar-SA" w:eastAsia="ru-RU"/>
    </w:rPr>
  </w:style>
  <w:style w:type="paragraph" w:styleId="238">
    <w:name w:val="Заголовок 1"/>
    <w:basedOn w:val="237"/>
    <w:next w:val="237"/>
    <w:rPr>
      <w:b/>
      <w:sz w:val="22"/>
      <w:szCs w:val="20"/>
    </w:rPr>
    <w:pPr>
      <w:keepNext/>
      <w:outlineLvl w:val="0"/>
    </w:pPr>
  </w:style>
  <w:style w:type="paragraph" w:styleId="239">
    <w:name w:val="Заголовок 2"/>
    <w:basedOn w:val="238"/>
    <w:next w:val="237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40">
    <w:name w:val="Заголовок 3"/>
    <w:basedOn w:val="239"/>
    <w:next w:val="237"/>
    <w:rPr>
      <w:sz w:val="28"/>
      <w:szCs w:val="28"/>
    </w:rPr>
    <w:pPr>
      <w:outlineLvl w:val="2"/>
    </w:pPr>
  </w:style>
  <w:style w:type="character" w:styleId="241">
    <w:name w:val="Основной шрифт абзаца"/>
    <w:next w:val="241"/>
    <w:semiHidden/>
  </w:style>
  <w:style w:type="table" w:styleId="242">
    <w:name w:val="Обычная таблица"/>
    <w:next w:val="242"/>
    <w:semiHidden/>
    <w:tblPr/>
  </w:style>
  <w:style w:type="numbering" w:styleId="243">
    <w:name w:val="Нет списка"/>
    <w:next w:val="243"/>
    <w:semiHidden/>
  </w:style>
  <w:style w:type="paragraph" w:styleId="244">
    <w:name w:val="Нижний колонтитул"/>
    <w:basedOn w:val="237"/>
    <w:next w:val="244"/>
    <w:pPr>
      <w:tabs>
        <w:tab w:val="center" w:pos="4677" w:leader="none"/>
        <w:tab w:val="right" w:pos="9355" w:leader="none"/>
      </w:tabs>
    </w:pPr>
  </w:style>
  <w:style w:type="paragraph" w:styleId="245">
    <w:name w:val="Основной текст"/>
    <w:basedOn w:val="237"/>
    <w:next w:val="245"/>
    <w:rPr>
      <w:szCs w:val="20"/>
    </w:rPr>
    <w:pPr>
      <w:jc w:val="both"/>
    </w:pPr>
  </w:style>
  <w:style w:type="paragraph" w:styleId="246">
    <w:name w:val="Основной текст 3"/>
    <w:basedOn w:val="237"/>
    <w:next w:val="246"/>
    <w:rPr>
      <w:szCs w:val="20"/>
    </w:rPr>
    <w:pPr>
      <w:ind w:right="5404"/>
      <w:jc w:val="both"/>
    </w:pPr>
  </w:style>
  <w:style w:type="paragraph" w:styleId="247">
    <w:name w:val="ConsPlusTitle"/>
    <w:next w:val="247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48">
    <w:name w:val="Схема документа"/>
    <w:basedOn w:val="237"/>
    <w:next w:val="248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49">
    <w:name w:val="Текст выноски"/>
    <w:basedOn w:val="237"/>
    <w:next w:val="249"/>
    <w:semiHidden/>
    <w:rPr>
      <w:rFonts w:ascii="Tahoma" w:hAnsi="Tahoma"/>
      <w:sz w:val="16"/>
      <w:szCs w:val="16"/>
    </w:rPr>
  </w:style>
  <w:style w:type="paragraph" w:styleId="250">
    <w:name w:val="Текст примечания"/>
    <w:basedOn w:val="237"/>
    <w:next w:val="250"/>
    <w:semiHidden/>
    <w:rPr>
      <w:sz w:val="20"/>
      <w:szCs w:val="20"/>
    </w:rPr>
  </w:style>
  <w:style w:type="paragraph" w:styleId="251">
    <w:name w:val="Тема примечания"/>
    <w:basedOn w:val="250"/>
    <w:next w:val="250"/>
    <w:semiHidden/>
    <w:rPr>
      <w:b/>
    </w:rPr>
  </w:style>
  <w:style w:type="paragraph" w:styleId="252">
    <w:name w:val="обычный"/>
    <w:basedOn w:val="237"/>
    <w:next w:val="252"/>
    <w:rPr>
      <w:sz w:val="20"/>
      <w:szCs w:val="20"/>
    </w:rPr>
  </w:style>
  <w:style w:type="character" w:styleId="253">
    <w:name w:val="Гиперссылка"/>
    <w:next w:val="253"/>
    <w:rPr>
      <w:color w:val="0000FF"/>
      <w:u w:val="single"/>
    </w:rPr>
  </w:style>
  <w:style w:type="character" w:styleId="254">
    <w:name w:val="Знак примечания"/>
    <w:next w:val="254"/>
    <w:semiHidden/>
    <w:rPr>
      <w:sz w:val="16"/>
      <w:szCs w:val="16"/>
    </w:rPr>
  </w:style>
  <w:style w:type="paragraph" w:styleId="255">
    <w:name w:val="ConsPlusNonformat"/>
    <w:next w:val="255"/>
    <w:rPr>
      <w:rFonts w:ascii="Courier New" w:hAnsi="Courier New"/>
      <w:lang w:val="ru-RU" w:bidi="ar-SA" w:eastAsia="ru-RU"/>
    </w:rPr>
    <w:pPr>
      <w:widowControl w:val="off"/>
    </w:pPr>
  </w:style>
  <w:style w:type="paragraph" w:styleId="256">
    <w:name w:val="ConsPlusNormal"/>
    <w:next w:val="256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57">
    <w:name w:val="Сетка таблицы"/>
    <w:basedOn w:val="242"/>
    <w:next w:val="257"/>
    <w:tblPr/>
  </w:style>
  <w:style w:type="character" w:styleId="258">
    <w:name w:val="Строгий"/>
    <w:next w:val="258"/>
    <w:rPr>
      <w:b/>
      <w:bCs/>
    </w:rPr>
  </w:style>
  <w:style w:type="paragraph" w:styleId="259">
    <w:name w:val="Текст сноски"/>
    <w:basedOn w:val="237"/>
    <w:next w:val="259"/>
    <w:rPr>
      <w:rFonts w:eastAsia="Times New Roman"/>
      <w:color w:val="000000"/>
      <w:sz w:val="20"/>
      <w:szCs w:val="20"/>
    </w:rPr>
  </w:style>
  <w:style w:type="character" w:styleId="260">
    <w:name w:val=" Знак Знак"/>
    <w:next w:val="260"/>
    <w:rPr>
      <w:rFonts w:eastAsia="Times New Roman"/>
    </w:rPr>
  </w:style>
  <w:style w:type="character" w:styleId="261">
    <w:name w:val="Знак сноски"/>
    <w:next w:val="261"/>
    <w:rPr>
      <w:vertAlign w:val="superscript"/>
    </w:rPr>
  </w:style>
  <w:style w:type="character" w:styleId="262">
    <w:name w:val=" Знак Знак1"/>
    <w:next w:val="262"/>
    <w:rPr>
      <w:color w:val="000000"/>
      <w:sz w:val="24"/>
      <w:szCs w:val="24"/>
    </w:rPr>
  </w:style>
  <w:style w:type="paragraph" w:styleId="263">
    <w:name w:val="Основной текст с отступом"/>
    <w:basedOn w:val="237"/>
    <w:next w:val="263"/>
    <w:pPr>
      <w:ind w:left="283"/>
      <w:spacing w:after="120"/>
    </w:pPr>
  </w:style>
  <w:style w:type="character" w:styleId="264">
    <w:name w:val="Font Style27"/>
    <w:next w:val="264"/>
    <w:rPr>
      <w:rFonts w:ascii="Times New Roman" w:hAnsi="Times New Roman"/>
      <w:sz w:val="26"/>
      <w:szCs w:val="26"/>
    </w:rPr>
  </w:style>
  <w:style w:type="character" w:styleId="265">
    <w:name w:val="Основной текст + Полужирный"/>
    <w:basedOn w:val="241"/>
    <w:next w:val="265"/>
    <w:rPr>
      <w:rFonts w:ascii="Times New Roman" w:hAnsi="Times New Roman"/>
      <w:b/>
      <w:bCs/>
      <w:spacing w:val="0"/>
      <w:sz w:val="23"/>
      <w:szCs w:val="23"/>
    </w:rPr>
  </w:style>
  <w:style w:type="character" w:styleId="266" w:default="1">
    <w:name w:val="Default Paragraph Font"/>
    <w:uiPriority w:val="1"/>
    <w:semiHidden/>
    <w:unhideWhenUsed/>
  </w:style>
  <w:style w:type="numbering" w:styleId="267" w:default="1">
    <w:name w:val="No List"/>
    <w:uiPriority w:val="99"/>
    <w:semiHidden/>
    <w:unhideWhenUsed/>
  </w:style>
  <w:style w:type="paragraph" w:styleId="268" w:default="1">
    <w:name w:val="Normal"/>
    <w:qFormat/>
  </w:style>
  <w:style w:type="table" w:styleId="269" w:default="1">
    <w:name w:val="Normal Table"/>
    <w:uiPriority w:val="99"/>
    <w:semiHidden/>
    <w:unhideWhenUsed/>
    <w:tblPr/>
  </w:style>
  <w:style w:type="paragraph" w:styleId="270">
    <w:name w:val="Основной текст,бпОсновной текст"/>
    <w:basedOn w:val="26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